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Accounts Receivable Aging Report</w:t>
      </w:r>
    </w:p>
    <w:p>
      <w:pPr>
        <w:spacing w:lineRule="auto"/>
      </w:pPr>
      <w:r>
        <w:rPr>
          <w:b/>
        </w:rPr>
        <w:t xml:space="preserve">Purpose:</w:t>
      </w:r>
      <w:r>
        <w:rPr/>
        <w:t xml:space="preserve"> This report provides an overview of outstanding customer invoices, categorized by how long they have been overdue. It helps organizations monitor and manage collections effectively, identify potential cash flow issues, and prioritize follow-up actions.</w:t>
      </w:r>
    </w:p>
    <w:p>
      <w:pPr>
        <w:pStyle w:val="Heading2"/>
        <w:spacing w:lineRule="auto"/>
      </w:pPr>
      <w:r>
        <w:rPr>
          <w:sz w:val="28"/>
        </w:rPr>
        <w:t xml:space="preserve">Company Information</w:t>
      </w:r>
    </w:p>
    <w:p>
      <w:pPr>
        <w:spacing w:lineRule="auto"/>
      </w:pPr>
      <w:r>
        <w:rPr>
          <w:b/>
        </w:rPr>
        <w:t xml:space="preserve">Company Name:</w:t>
      </w:r>
      <w:r>
        <w:rPr/>
        <w:t xml:space="preserve"> {companyName}</w:t>
      </w:r>
      <w:r>
        <w:rPr/>
        <w:br w:type="textWrapping"/>
      </w:r>
      <w:r>
        <w:rPr>
          <w:b/>
        </w:rPr>
        <w:t xml:space="preserve">Report Date:</w:t>
      </w:r>
      <w:r>
        <w:rPr/>
        <w:t xml:space="preserve"> {reportDate}</w:t>
      </w:r>
      <w:r>
        <w:rPr/>
        <w:br w:type="textWrapping"/>
      </w:r>
      <w:r>
        <w:rPr>
          <w:b/>
        </w:rPr>
        <w:t xml:space="preserve">Prepared By:</w:t>
      </w:r>
      <w:r>
        <w:rPr/>
        <w:t xml:space="preserve"> {preparedBy}</w:t>
      </w:r>
    </w:p>
    <w:p>
      <w:pPr>
        <w:pStyle w:val="Heading2"/>
        <w:spacing w:lineRule="auto"/>
      </w:pPr>
      <w:r>
        <w:rPr>
          <w:sz w:val="28"/>
        </w:rPr>
        <w:t xml:space="preserve">Customer 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234.2857142857142"/>
        <w:gridCol w:w="1234.2857142857142"/>
        <w:gridCol w:w="1234.2857142857142"/>
        <w:gridCol w:w="1234.2857142857142"/>
        <w:gridCol w:w="1234.2857142857142"/>
        <w:gridCol w:w="1234.2857142857142"/>
        <w:gridCol w:w="1234.2857142857142"/>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Customer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Total Due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Current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1-30 Days</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31-60 Days</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61-90 Days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90+ Days</w:t>
            </w:r>
          </w:p>
        </w:tc>
      </w:tr>
      <w:tr>
        <w:trPr/>
        <w:tc>
          <w:tcPr>
            <w:tcBorders>
              <w:top w:val="single" w:sz="none" w:space="0" w:color="BFBFBF"/>
              <w:left w:val="single" w:sz="none" w:space="0" w:color="BFBFBF"/>
              <w:right w:val="single" w:sz="8" w:space="0" w:color="BFBFBF"/>
            </w:tcBorders>
          </w:tcPr>
          <w:p>
            <w:pPr>
              <w:spacing w:lineRule="auto"/>
            </w:pPr>
            <w:r>
              <w:rPr/>
              <w:t xml:space="preserve">{#customers}{customerName}</w:t>
            </w:r>
          </w:p>
        </w:tc>
        <w:tc>
          <w:tcPr>
            <w:tcBorders>
              <w:top w:val="single" w:sz="none" w:space="0" w:color="BFBFBF"/>
              <w:left w:val="single" w:sz="none" w:space="0" w:color="BFBFBF"/>
              <w:right w:val="single" w:sz="8" w:space="0" w:color="BFBFBF"/>
            </w:tcBorders>
          </w:tcPr>
          <w:p>
            <w:pPr>
              <w:spacing w:lineRule="auto"/>
            </w:pPr>
            <w:r>
              <w:rPr/>
              <w:t xml:space="preserve">{totalDue}</w:t>
            </w:r>
          </w:p>
        </w:tc>
        <w:tc>
          <w:tcPr>
            <w:tcBorders>
              <w:top w:val="single" w:sz="none" w:space="0" w:color="BFBFBF"/>
              <w:left w:val="single" w:sz="none" w:space="0" w:color="BFBFBF"/>
              <w:right w:val="single" w:sz="8" w:space="0" w:color="BFBFBF"/>
            </w:tcBorders>
          </w:tcPr>
          <w:p>
            <w:pPr>
              <w:spacing w:lineRule="auto"/>
            </w:pPr>
            <w:r>
              <w:rPr/>
              <w:t xml:space="preserve">{current}</w:t>
            </w:r>
          </w:p>
        </w:tc>
        <w:tc>
          <w:tcPr>
            <w:tcBorders>
              <w:top w:val="single" w:sz="none" w:space="0" w:color="BFBFBF"/>
              <w:left w:val="single" w:sz="none" w:space="0" w:color="BFBFBF"/>
              <w:right w:val="single" w:sz="8" w:space="0" w:color="BFBFBF"/>
            </w:tcBorders>
          </w:tcPr>
          <w:p>
            <w:pPr>
              <w:spacing w:lineRule="auto"/>
            </w:pPr>
            <w:r>
              <w:rPr/>
              <w:t xml:space="preserve">{days30}</w:t>
            </w:r>
          </w:p>
        </w:tc>
        <w:tc>
          <w:tcPr>
            <w:tcBorders>
              <w:top w:val="single" w:sz="none" w:space="0" w:color="BFBFBF"/>
              <w:left w:val="single" w:sz="none" w:space="0" w:color="BFBFBF"/>
              <w:right w:val="single" w:sz="8" w:space="0" w:color="BFBFBF"/>
            </w:tcBorders>
          </w:tcPr>
          <w:p>
            <w:pPr>
              <w:spacing w:lineRule="auto"/>
            </w:pPr>
            <w:r>
              <w:rPr/>
              <w:t xml:space="preserve">{days60}</w:t>
            </w:r>
          </w:p>
        </w:tc>
        <w:tc>
          <w:tcPr>
            <w:tcBorders>
              <w:top w:val="single" w:sz="none" w:space="0" w:color="BFBFBF"/>
              <w:left w:val="single" w:sz="none" w:space="0" w:color="BFBFBF"/>
              <w:right w:val="single" w:sz="8" w:space="0" w:color="BFBFBF"/>
            </w:tcBorders>
          </w:tcPr>
          <w:p>
            <w:pPr>
              <w:spacing w:lineRule="auto"/>
            </w:pPr>
            <w:r>
              <w:rPr/>
              <w:t xml:space="preserve">{days90}</w:t>
            </w:r>
          </w:p>
        </w:tc>
        <w:tc>
          <w:tcPr>
            <w:tcBorders>
              <w:top w:val="single" w:sz="none" w:space="0" w:color="BFBFBF"/>
              <w:left w:val="single" w:sz="none" w:space="0" w:color="BFBFBF"/>
            </w:tcBorders>
          </w:tcPr>
          <w:p>
            <w:pPr>
              <w:spacing w:lineRule="auto"/>
            </w:pPr>
            <w:r>
              <w:rPr/>
              <w:t xml:space="preserve">{days90Plus}{/customers}</w:t>
            </w:r>
          </w:p>
        </w:tc>
      </w:tr>
    </w:tbl>
    <w:p>
      <w:pPr>
        <w:spacing w:lineRule="auto"/>
      </w:pPr>
      <w:r>
        <w:rPr/>
      </w:r>
    </w:p>
    <w:p>
      <w:pPr>
        <w:pStyle w:val="Heading2"/>
        <w:spacing w:lineRule="auto"/>
      </w:pPr>
      <w:r>
        <w:rPr>
          <w:sz w:val="28"/>
        </w:rPr>
        <w:t xml:space="preserve">Detailed Invoice Aging</w:t>
      </w:r>
    </w:p>
    <w:p>
      <w:pPr>
        <w:spacing w:lineRule="auto"/>
      </w:pPr>
      <w:r>
        <w:rPr/>
        <w:t xml:space="preserve">Below is the detailed breakdown of invoices for each customer.</w:t>
      </w:r>
    </w:p>
    <w:p>
      <w:pPr>
        <w:spacing w:lineRule="auto"/>
      </w:pPr>
      <w:r>
        <w:rPr/>
        <w:t xml:space="preserve">{#customers}</w:t>
      </w:r>
    </w:p>
    <w:p>
      <w:pPr>
        <w:pStyle w:val="Heading3"/>
        <w:spacing w:lineRule="auto"/>
      </w:pPr>
      <w:r>
        <w:rPr>
          <w:sz w:val="24"/>
        </w:rPr>
        <w:t xml:space="preserve">{customerName}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Invoice Number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Invoice 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Due 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Invoice Amount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Outstanding Balance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Aging Period</w:t>
            </w:r>
          </w:p>
        </w:tc>
      </w:tr>
      <w:tr>
        <w:trPr/>
        <w:tc>
          <w:tcPr>
            <w:tcBorders>
              <w:top w:val="single" w:sz="none" w:space="0" w:color="BFBFBF"/>
              <w:left w:val="single" w:sz="none" w:space="0" w:color="BFBFBF"/>
              <w:right w:val="single" w:sz="8" w:space="0" w:color="BFBFBF"/>
            </w:tcBorders>
          </w:tcPr>
          <w:p>
            <w:pPr>
              <w:spacing w:lineRule="auto"/>
            </w:pPr>
            <w:r>
              <w:rPr/>
              <w:t xml:space="preserve">{#invoices}{invoiceNumber}</w:t>
            </w:r>
          </w:p>
        </w:tc>
        <w:tc>
          <w:tcPr>
            <w:tcBorders>
              <w:top w:val="single" w:sz="none" w:space="0" w:color="BFBFBF"/>
              <w:left w:val="single" w:sz="none" w:space="0" w:color="BFBFBF"/>
              <w:right w:val="single" w:sz="8" w:space="0" w:color="BFBFBF"/>
            </w:tcBorders>
          </w:tcPr>
          <w:p>
            <w:pPr>
              <w:spacing w:lineRule="auto"/>
            </w:pPr>
            <w:r>
              <w:rPr/>
              <w:t xml:space="preserve">{invoiceDate}</w:t>
            </w:r>
          </w:p>
        </w:tc>
        <w:tc>
          <w:tcPr>
            <w:tcBorders>
              <w:top w:val="single" w:sz="none" w:space="0" w:color="BFBFBF"/>
              <w:left w:val="single" w:sz="none" w:space="0" w:color="BFBFBF"/>
              <w:right w:val="single" w:sz="8" w:space="0" w:color="BFBFBF"/>
            </w:tcBorders>
          </w:tcPr>
          <w:p>
            <w:pPr>
              <w:spacing w:lineRule="auto"/>
            </w:pPr>
            <w:r>
              <w:rPr/>
              <w:t xml:space="preserve">{dueDate}</w:t>
            </w:r>
          </w:p>
        </w:tc>
        <w:tc>
          <w:tcPr>
            <w:tcBorders>
              <w:top w:val="single" w:sz="none" w:space="0" w:color="BFBFBF"/>
              <w:left w:val="single" w:sz="none" w:space="0" w:color="BFBFBF"/>
              <w:right w:val="single" w:sz="8" w:space="0" w:color="BFBFBF"/>
            </w:tcBorders>
          </w:tcPr>
          <w:p>
            <w:pPr>
              <w:spacing w:lineRule="auto"/>
            </w:pPr>
            <w:r>
              <w:rPr/>
              <w:t xml:space="preserve">{invoiceAmount}</w:t>
            </w:r>
          </w:p>
        </w:tc>
        <w:tc>
          <w:tcPr>
            <w:tcBorders>
              <w:top w:val="single" w:sz="none" w:space="0" w:color="BFBFBF"/>
              <w:left w:val="single" w:sz="none" w:space="0" w:color="BFBFBF"/>
              <w:right w:val="single" w:sz="8" w:space="0" w:color="BFBFBF"/>
            </w:tcBorders>
          </w:tcPr>
          <w:p>
            <w:pPr>
              <w:spacing w:lineRule="auto"/>
            </w:pPr>
            <w:r>
              <w:rPr/>
              <w:t xml:space="preserve">{balance}</w:t>
            </w:r>
          </w:p>
        </w:tc>
        <w:tc>
          <w:tcPr>
            <w:tcBorders>
              <w:top w:val="single" w:sz="none" w:space="0" w:color="BFBFBF"/>
              <w:left w:val="single" w:sz="none" w:space="0" w:color="BFBFBF"/>
            </w:tcBorders>
          </w:tcPr>
          <w:p>
            <w:pPr>
              <w:spacing w:lineRule="auto"/>
            </w:pPr>
            <w:r>
              <w:rPr/>
              <w:t xml:space="preserve">{agingPeriod}{/invoices}</w:t>
            </w:r>
          </w:p>
        </w:tc>
      </w:tr>
    </w:tbl>
    <w:p>
      <w:pPr>
        <w:spacing w:lineRule="auto"/>
      </w:pPr>
      <w:r>
        <w:rPr/>
      </w:r>
    </w:p>
    <w:p>
      <w:pPr>
        <w:spacing w:lineRule="auto"/>
      </w:pPr>
      <w:r>
        <w:rPr/>
        <w:t xml:space="preserve">{/customers}</w:t>
      </w:r>
    </w:p>
    <w:p>
      <w:pPr>
        <w:pStyle w:val="Heading2"/>
        <w:spacing w:lineRule="auto"/>
      </w:pPr>
      <w:r>
        <w:rPr>
          <w:sz w:val="28"/>
        </w:rPr>
        <w:t xml:space="preserve">Notes and Follow-Up Actions</w:t>
      </w:r>
    </w:p>
    <w:p>
      <w:pPr>
        <w:spacing w:lineRule="auto"/>
      </w:pPr>
      <w:r>
        <w:rPr/>
        <w:t xml:space="preserve">{#notes}</w:t>
      </w:r>
    </w:p>
    <w:p>
      <w:pPr>
        <w:numPr>
          <w:ilvl w:val="0"/>
          <w:numId w:val="1"/>
        </w:numPr>
        <w:spacing w:lineRule="auto"/>
      </w:pPr>
      <w:r>
        <w:rPr>
          <w:b/>
        </w:rPr>
        <w:t xml:space="preserve">{title}:</w:t>
      </w:r>
      <w:r>
        <w:rPr/>
        <w:t xml:space="preserve"> {description}</w:t>
      </w:r>
    </w:p>
    <w:p>
      <w:pPr>
        <w:spacing w:lineRule="auto"/>
      </w:pPr>
      <w:r>
        <w:rPr/>
        <w:t xml:space="preserve">{/notes}</w:t>
      </w:r>
    </w:p>
    <w:p>
      <w:pPr>
        <w:pStyle w:val="Heading2"/>
        <w:spacing w:lineRule="auto"/>
      </w:pPr>
      <w:r>
        <w:rPr>
          <w:sz w:val="28"/>
        </w:rPr>
        <w:t xml:space="preserve">Conclusion</w:t>
      </w:r>
    </w:p>
    <w:p>
      <w:pPr>
        <w:spacing w:lineRule="auto"/>
      </w:pPr>
      <w:r>
        <w:rPr/>
        <w:t xml:space="preserve">This report is essential for identifying overdue accounts and ensuring timely collection. It is recommended to follow up with customers listed under older aging periods and take necessary measures to recover outstanding dues efficiently.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